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6"/>
        </w:rPr>
      </w:pPr>
      <w:r>
        <w:rPr>
          <w:rFonts w:ascii="宋体" w:hAnsi="宋体" w:eastAsia="宋体"/>
          <w:b/>
          <w:bCs/>
          <w:sz w:val="32"/>
          <w:szCs w:val="36"/>
        </w:rPr>
        <w:t>管理、指导经验案例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9"/>
        <w:gridCol w:w="2603"/>
        <w:gridCol w:w="1395"/>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45" w:type="dxa"/>
            <w:gridSpan w:val="2"/>
            <w:vAlign w:val="center"/>
          </w:tcPr>
          <w:p>
            <w:pPr>
              <w:jc w:val="center"/>
              <w:rPr>
                <w:rFonts w:ascii="宋体" w:hAnsi="宋体" w:eastAsia="宋体"/>
                <w:b/>
                <w:bCs/>
              </w:rPr>
            </w:pPr>
            <w:r>
              <w:rPr>
                <w:rFonts w:hint="eastAsia" w:ascii="宋体" w:hAnsi="宋体" w:eastAsia="宋体"/>
                <w:b/>
                <w:bCs/>
              </w:rPr>
              <w:t>姓名</w:t>
            </w:r>
          </w:p>
        </w:tc>
        <w:tc>
          <w:tcPr>
            <w:tcW w:w="2603" w:type="dxa"/>
            <w:vAlign w:val="center"/>
          </w:tcPr>
          <w:p>
            <w:pPr>
              <w:jc w:val="center"/>
              <w:rPr>
                <w:rFonts w:ascii="宋体" w:hAnsi="宋体" w:eastAsia="宋体"/>
                <w:bCs/>
              </w:rPr>
            </w:pPr>
            <w:r>
              <w:rPr>
                <w:rFonts w:hint="eastAsia" w:ascii="宋体" w:hAnsi="宋体" w:eastAsia="宋体"/>
                <w:bCs/>
              </w:rPr>
              <w:t>贾锋萍</w:t>
            </w:r>
          </w:p>
        </w:tc>
        <w:tc>
          <w:tcPr>
            <w:tcW w:w="1395" w:type="dxa"/>
            <w:tcBorders>
              <w:bottom w:val="single" w:color="auto" w:sz="4" w:space="0"/>
            </w:tcBorders>
            <w:vAlign w:val="center"/>
          </w:tcPr>
          <w:p>
            <w:pPr>
              <w:jc w:val="center"/>
              <w:rPr>
                <w:rFonts w:ascii="宋体" w:hAnsi="宋体" w:eastAsia="宋体"/>
                <w:b/>
                <w:bCs/>
              </w:rPr>
            </w:pPr>
            <w:r>
              <w:rPr>
                <w:rFonts w:hint="eastAsia" w:ascii="宋体" w:hAnsi="宋体" w:eastAsia="宋体"/>
                <w:b/>
                <w:bCs/>
              </w:rPr>
              <w:t>单位</w:t>
            </w:r>
          </w:p>
        </w:tc>
        <w:tc>
          <w:tcPr>
            <w:tcW w:w="2753" w:type="dxa"/>
            <w:vAlign w:val="center"/>
          </w:tcPr>
          <w:p>
            <w:pPr>
              <w:rPr>
                <w:rFonts w:ascii="宋体" w:hAnsi="宋体" w:eastAsia="宋体"/>
              </w:rPr>
            </w:pPr>
            <w:r>
              <w:rPr>
                <w:rFonts w:hint="eastAsia" w:ascii="宋体" w:hAnsi="宋体" w:eastAsia="宋体"/>
              </w:rPr>
              <w:t>太原市晋源区教育局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5" w:type="dxa"/>
            <w:gridSpan w:val="2"/>
            <w:vAlign w:val="center"/>
          </w:tcPr>
          <w:p>
            <w:pPr>
              <w:jc w:val="center"/>
              <w:rPr>
                <w:rFonts w:ascii="宋体" w:hAnsi="宋体" w:eastAsia="宋体"/>
                <w:b/>
                <w:bCs/>
              </w:rPr>
            </w:pPr>
            <w:r>
              <w:rPr>
                <w:rFonts w:hint="eastAsia" w:ascii="宋体" w:hAnsi="宋体" w:eastAsia="宋体"/>
                <w:b/>
                <w:bCs/>
              </w:rPr>
              <w:t>地市</w:t>
            </w:r>
          </w:p>
        </w:tc>
        <w:tc>
          <w:tcPr>
            <w:tcW w:w="2603" w:type="dxa"/>
            <w:vAlign w:val="center"/>
          </w:tcPr>
          <w:p>
            <w:pPr>
              <w:jc w:val="center"/>
              <w:rPr>
                <w:rFonts w:ascii="宋体" w:hAnsi="宋体" w:eastAsia="宋体"/>
                <w:bCs/>
              </w:rPr>
            </w:pPr>
            <w:r>
              <w:rPr>
                <w:rFonts w:hint="eastAsia" w:ascii="宋体" w:hAnsi="宋体" w:eastAsia="宋体"/>
                <w:bCs/>
              </w:rPr>
              <w:t>太原市</w:t>
            </w:r>
          </w:p>
        </w:tc>
        <w:tc>
          <w:tcPr>
            <w:tcW w:w="1395" w:type="dxa"/>
            <w:tcBorders>
              <w:bottom w:val="nil"/>
            </w:tcBorders>
            <w:vAlign w:val="center"/>
          </w:tcPr>
          <w:p>
            <w:pPr>
              <w:jc w:val="center"/>
              <w:rPr>
                <w:rFonts w:ascii="宋体" w:hAnsi="宋体" w:eastAsia="宋体"/>
                <w:b/>
                <w:bCs/>
              </w:rPr>
            </w:pPr>
            <w:r>
              <w:rPr>
                <w:rFonts w:hint="eastAsia" w:ascii="宋体" w:hAnsi="宋体" w:eastAsia="宋体"/>
                <w:b/>
                <w:bCs/>
              </w:rPr>
              <w:t>区县</w:t>
            </w:r>
          </w:p>
        </w:tc>
        <w:tc>
          <w:tcPr>
            <w:tcW w:w="2753" w:type="dxa"/>
            <w:vAlign w:val="center"/>
          </w:tcPr>
          <w:p>
            <w:pPr>
              <w:rPr>
                <w:rFonts w:ascii="宋体" w:hAnsi="宋体" w:eastAsia="宋体"/>
              </w:rPr>
            </w:pPr>
            <w:r>
              <w:rPr>
                <w:rFonts w:hint="eastAsia" w:ascii="宋体" w:hAnsi="宋体" w:eastAsia="宋体"/>
              </w:rPr>
              <w:t>晋源区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5" w:type="dxa"/>
            <w:gridSpan w:val="2"/>
            <w:vAlign w:val="center"/>
          </w:tcPr>
          <w:p>
            <w:pPr>
              <w:jc w:val="center"/>
              <w:rPr>
                <w:rFonts w:ascii="宋体" w:hAnsi="宋体" w:eastAsia="宋体"/>
                <w:b/>
                <w:bCs/>
              </w:rPr>
            </w:pPr>
            <w:r>
              <w:rPr>
                <w:rFonts w:hint="eastAsia" w:ascii="宋体" w:hAnsi="宋体" w:eastAsia="宋体"/>
                <w:b/>
                <w:bCs/>
              </w:rPr>
              <w:t>培训角色</w:t>
            </w:r>
          </w:p>
        </w:tc>
        <w:tc>
          <w:tcPr>
            <w:tcW w:w="6751" w:type="dxa"/>
            <w:gridSpan w:val="3"/>
            <w:vAlign w:val="center"/>
          </w:tcPr>
          <w:p>
            <w:pPr>
              <w:rPr>
                <w:rFonts w:ascii="宋体" w:hAnsi="宋体" w:eastAsia="宋体"/>
              </w:rPr>
            </w:pPr>
            <w:r>
              <w:rPr>
                <w:rFonts w:ascii="宋体" w:hAnsi="宋体" w:eastAsia="宋体"/>
              </w:rPr>
              <w:t>县区管理员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5" w:type="dxa"/>
            <w:gridSpan w:val="2"/>
            <w:vAlign w:val="center"/>
          </w:tcPr>
          <w:p>
            <w:pPr>
              <w:jc w:val="center"/>
              <w:rPr>
                <w:rFonts w:ascii="宋体" w:hAnsi="宋体" w:eastAsia="宋体"/>
                <w:b/>
                <w:bCs/>
              </w:rPr>
            </w:pPr>
            <w:r>
              <w:rPr>
                <w:rFonts w:hint="eastAsia" w:ascii="宋体" w:hAnsi="宋体" w:eastAsia="宋体"/>
                <w:b/>
                <w:bCs/>
              </w:rPr>
              <w:t>来自项目</w:t>
            </w:r>
          </w:p>
        </w:tc>
        <w:tc>
          <w:tcPr>
            <w:tcW w:w="6751" w:type="dxa"/>
            <w:gridSpan w:val="3"/>
            <w:vAlign w:val="center"/>
          </w:tcPr>
          <w:p>
            <w:pPr>
              <w:rPr>
                <w:rFonts w:ascii="宋体" w:hAnsi="宋体" w:eastAsia="宋体"/>
              </w:rPr>
            </w:pPr>
            <w:r>
              <w:rPr>
                <w:rFonts w:ascii="宋体" w:hAnsi="宋体" w:eastAsia="宋体"/>
              </w:rPr>
              <w:t>"国培计划2017"--山西省乡村中小学幼儿园教师信息技术应用能力提升培训项目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trPr>
        <w:tc>
          <w:tcPr>
            <w:tcW w:w="846" w:type="dxa"/>
            <w:vAlign w:val="center"/>
          </w:tcPr>
          <w:p>
            <w:pPr>
              <w:rPr>
                <w:rFonts w:ascii="宋体" w:hAnsi="宋体" w:eastAsia="宋体"/>
              </w:rPr>
            </w:pPr>
            <w:r>
              <w:rPr>
                <w:rFonts w:hint="eastAsia" w:ascii="宋体" w:hAnsi="宋体" w:eastAsia="宋体"/>
              </w:rPr>
              <w:t>经验</w:t>
            </w:r>
          </w:p>
          <w:p>
            <w:pPr>
              <w:rPr>
                <w:rFonts w:ascii="宋体" w:hAnsi="宋体" w:eastAsia="宋体"/>
              </w:rPr>
            </w:pPr>
            <w:r>
              <w:rPr>
                <w:rFonts w:hint="eastAsia" w:ascii="宋体" w:hAnsi="宋体" w:eastAsia="宋体"/>
              </w:rPr>
              <w:t>分享</w:t>
            </w:r>
          </w:p>
        </w:tc>
        <w:tc>
          <w:tcPr>
            <w:tcW w:w="7450" w:type="dxa"/>
            <w:gridSpan w:val="4"/>
            <w:vAlign w:val="center"/>
          </w:tcPr>
          <w:p>
            <w:pPr>
              <w:spacing w:line="360" w:lineRule="auto"/>
              <w:ind w:firstLine="480" w:firstLineChars="200"/>
              <w:rPr>
                <w:rFonts w:ascii="宋体" w:hAnsi="宋体" w:eastAsia="宋体"/>
                <w:sz w:val="24"/>
                <w:szCs w:val="24"/>
              </w:rPr>
            </w:pPr>
            <w:r>
              <w:rPr>
                <w:rFonts w:hint="eastAsia" w:ascii="宋体" w:hAnsi="宋体" w:eastAsia="宋体"/>
                <w:sz w:val="24"/>
                <w:szCs w:val="24"/>
              </w:rPr>
              <w:t>一、分级管理进行上报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为保证网络培训的顺利开展，我区采取乡镇中心校、直属校、逐层摸底通知，上报的原则按编制所在地进行全员上报，非编制内人员采用自觉自愿的原则，之后还进行全区查缺补漏的补报，确保无漏报现象。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二、尊重教师个人意愿进行学科选报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教师的学科选择基本上结合教学实际进行上报，完全尊重教师个人的选择，对个别教师出现的学科选择针对性不强等问题，本着既有利于教师网上学习提升自己的信息技术能力，又便于教师将所学知识与能力运用到自己的实际教学中的原则进行统一协调，避免了错报之嫌，解除了后顾之忧，为教师安心参与学习提供了有利的制度保障，极大地激发了教师参与培训的积极性和主动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三、选</w:t>
            </w:r>
            <w:r>
              <w:rPr>
                <w:rFonts w:hint="eastAsia" w:ascii="宋体" w:hAnsi="宋体" w:eastAsia="宋体"/>
                <w:sz w:val="24"/>
                <w:szCs w:val="24"/>
                <w:lang w:val="en-US" w:eastAsia="zh-CN"/>
              </w:rPr>
              <w:t>拔</w:t>
            </w:r>
            <w:r>
              <w:rPr>
                <w:rFonts w:hint="eastAsia" w:ascii="宋体" w:hAnsi="宋体" w:eastAsia="宋体"/>
                <w:sz w:val="24"/>
                <w:szCs w:val="24"/>
              </w:rPr>
              <w:t>学科骨干进行坊内管理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严格选</w:t>
            </w:r>
            <w:r>
              <w:rPr>
                <w:rFonts w:hint="eastAsia" w:ascii="宋体" w:hAnsi="宋体" w:eastAsia="宋体"/>
                <w:sz w:val="24"/>
                <w:szCs w:val="24"/>
                <w:lang w:val="en-US" w:eastAsia="zh-CN"/>
              </w:rPr>
              <w:t>拔</w:t>
            </w:r>
            <w:bookmarkStart w:id="0" w:name="_GoBack"/>
            <w:bookmarkEnd w:id="0"/>
            <w:r>
              <w:rPr>
                <w:rFonts w:hint="eastAsia" w:ascii="宋体" w:hAnsi="宋体" w:eastAsia="宋体"/>
                <w:sz w:val="24"/>
                <w:szCs w:val="24"/>
              </w:rPr>
              <w:t>学科优秀教师或专兼职教研员担任坊主（管理员），以他们较高水平的学科业务服众，以他们兢兢业业刻苦努力的个人魅力服众。定期记录学员学习情况，在学习初期，很好地掌握了学员登录状况，反馈及时，并通过电话，微信等方式通知未登录学员及时登录，以免延误学习，这一行动抢在了平台反馈学情的前面，保证了学员登录率。学习中，坊主（管理员）就网上学员遇到的诸如个人信息有误、教学疑问等问题进行及时的探讨解决，这种浓厚的学习劲头还延伸到了在线下，坊主（管理员）就线上学员提出的学科性的共性问题组织线下研讨，开展有目的、有专题的形式丰富的教研活动，效果良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四、研训一体整合创新进行活动</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1.组建各层次各主题的管理团队和业务团队。我们将全区专兼职教研员、各级师训负责人、各级教研负责人、各学科教师进行了整合，根据工作需要，或交叉管理或重新整合管理，分别建立微信群，有利于信息的沟通和高效工作。         </w:t>
            </w:r>
          </w:p>
          <w:p>
            <w:pPr>
              <w:spacing w:line="360" w:lineRule="auto"/>
              <w:ind w:firstLine="480" w:firstLineChars="200"/>
              <w:rPr>
                <w:rFonts w:ascii="宋体" w:hAnsi="宋体" w:eastAsia="宋体"/>
                <w:sz w:val="24"/>
                <w:szCs w:val="24"/>
              </w:rPr>
            </w:pPr>
            <w:r>
              <w:rPr>
                <w:rFonts w:ascii="宋体" w:hAnsi="宋体" w:eastAsia="宋体"/>
                <w:sz w:val="24"/>
                <w:szCs w:val="24"/>
              </w:rPr>
              <w:t>2.研训一体线上线下互补推进。全区师训科、教研室的整合为我们的研训一体工作提供了保障；另外，坊主（管理员）大部分为专兼职教研员，也为研训一体提供了便利条件。同时，线上线下研训一体顺应了广大教师学以致用的强烈要求，真正达到研训互补推进的效果。</w:t>
            </w:r>
          </w:p>
          <w:p>
            <w:pPr>
              <w:spacing w:line="360" w:lineRule="auto"/>
              <w:ind w:firstLine="480" w:firstLineChars="200"/>
              <w:rPr>
                <w:rFonts w:ascii="宋体" w:hAnsi="宋体" w:eastAsia="宋体"/>
                <w:sz w:val="24"/>
                <w:szCs w:val="24"/>
              </w:rPr>
            </w:pPr>
            <w:r>
              <w:rPr>
                <w:rFonts w:ascii="宋体" w:hAnsi="宋体" w:eastAsia="宋体"/>
                <w:sz w:val="24"/>
                <w:szCs w:val="24"/>
              </w:rPr>
              <w:t>3.学科内与学科间交流常态化。我区学科坊主（管理员）在引领学员学习的同时，还在区级管理员的指导下组织学科间的学习交流。</w:t>
            </w:r>
          </w:p>
          <w:p>
            <w:pPr>
              <w:spacing w:line="360" w:lineRule="auto"/>
              <w:ind w:firstLine="480" w:firstLineChars="200"/>
              <w:rPr>
                <w:rFonts w:ascii="宋体" w:hAnsi="宋体" w:eastAsia="宋体"/>
                <w:sz w:val="24"/>
                <w:szCs w:val="24"/>
              </w:rPr>
            </w:pPr>
            <w:r>
              <w:rPr>
                <w:rFonts w:ascii="宋体" w:hAnsi="宋体" w:eastAsia="宋体"/>
                <w:sz w:val="24"/>
                <w:szCs w:val="24"/>
              </w:rPr>
              <w:t>4.项目整合拓展资源。结合区情，我区积极与国家、省、市教研部门联系，邀请国家、省、市专家来送教下乡。积极与全国培训机构联系，协商设计培训方案，派相关教师外出培训。将送教下乡、外出培训与信息技术能力提升项目进行了整合。国家、省、市级学科专家亲临课堂亲自上网进行面对面指导。省教学名师与我们的老师同题异构进行课堂教学与教学研讨，对教师课堂教学能力的快速提高非常明显。因市教研员又是市直属校信息技术能力提升项目的坊主，所以我们的学科坊主得到了一对一的指导，学员得到了有针对性的培训。全年近千人教师曾外出</w:t>
            </w:r>
            <w:r>
              <w:rPr>
                <w:rFonts w:hint="eastAsia" w:ascii="宋体" w:hAnsi="宋体" w:eastAsia="宋体"/>
                <w:sz w:val="24"/>
                <w:szCs w:val="24"/>
              </w:rPr>
              <w:t>培训，近两千人次教师曾接受过国家级专家培训，所有教师都参加过市级专家的培训，专家的指导扩大了教学资源利用的宽度和广度，为一线教师进行高层次的研讨搭建了平台，得到了一线教师，校领导的好评。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atLeast"/>
        </w:trPr>
        <w:tc>
          <w:tcPr>
            <w:tcW w:w="846" w:type="dxa"/>
            <w:vAlign w:val="center"/>
          </w:tcPr>
          <w:p>
            <w:pPr>
              <w:rPr>
                <w:rFonts w:ascii="宋体" w:hAnsi="宋体" w:eastAsia="宋体"/>
              </w:rPr>
            </w:pPr>
            <w:r>
              <w:rPr>
                <w:rFonts w:hint="eastAsia" w:ascii="宋体" w:hAnsi="宋体" w:eastAsia="宋体"/>
              </w:rPr>
              <w:t>照片</w:t>
            </w:r>
          </w:p>
        </w:tc>
        <w:tc>
          <w:tcPr>
            <w:tcW w:w="7450" w:type="dxa"/>
            <w:gridSpan w:val="4"/>
            <w:vAlign w:val="center"/>
          </w:tcPr>
          <w:p>
            <w:pPr>
              <w:rPr>
                <w:rFonts w:ascii="宋体" w:hAnsi="宋体" w:eastAsia="宋体"/>
              </w:rPr>
            </w:pPr>
            <w:r>
              <w:rPr>
                <w:rFonts w:hint="eastAsia" w:ascii="宋体" w:hAnsi="宋体" w:eastAsia="宋体"/>
              </w:rPr>
              <w:t>提供生活照、独照、突出人物、面目清晰</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r>
              <w:rPr>
                <w:rFonts w:ascii="宋体" w:hAnsi="宋体" w:eastAsia="宋体"/>
              </w:rPr>
              <w:drawing>
                <wp:inline distT="0" distB="0" distL="0" distR="0">
                  <wp:extent cx="1758950" cy="2576195"/>
                  <wp:effectExtent l="133350" t="114300" r="146050" b="167005"/>
                  <wp:docPr id="79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7"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758950" cy="2576513"/>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宋体" w:hAnsi="宋体" w:eastAsia="宋体"/>
              </w:rPr>
            </w:pPr>
            <w:r>
              <w:rPr>
                <w:rFonts w:hint="eastAsia" w:ascii="宋体" w:hAnsi="宋体" w:eastAsia="宋体"/>
              </w:rPr>
              <w:t>其他</w:t>
            </w:r>
          </w:p>
          <w:p>
            <w:pPr>
              <w:rPr>
                <w:rFonts w:ascii="宋体" w:hAnsi="宋体" w:eastAsia="宋体"/>
              </w:rPr>
            </w:pPr>
            <w:r>
              <w:rPr>
                <w:rFonts w:hint="eastAsia" w:ascii="宋体" w:hAnsi="宋体" w:eastAsia="宋体"/>
              </w:rPr>
              <w:t>材料</w:t>
            </w:r>
          </w:p>
        </w:tc>
        <w:tc>
          <w:tcPr>
            <w:tcW w:w="7450" w:type="dxa"/>
            <w:gridSpan w:val="4"/>
            <w:vAlign w:val="center"/>
          </w:tcPr>
          <w:p>
            <w:pPr>
              <w:rPr>
                <w:rFonts w:ascii="宋体" w:hAnsi="宋体" w:eastAsia="宋体"/>
              </w:rPr>
            </w:pPr>
            <w:r>
              <w:rPr>
                <w:rFonts w:hint="eastAsia" w:ascii="宋体" w:hAnsi="宋体" w:eastAsia="宋体"/>
              </w:rPr>
              <w:t>如有其他特色材料，可选附（如证书、视频等）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00623568"/>
    <w:rsid w:val="00076D0A"/>
    <w:rsid w:val="00173BBD"/>
    <w:rsid w:val="00202E64"/>
    <w:rsid w:val="002B1E22"/>
    <w:rsid w:val="00440874"/>
    <w:rsid w:val="005227CB"/>
    <w:rsid w:val="005D3C40"/>
    <w:rsid w:val="00623568"/>
    <w:rsid w:val="00735890"/>
    <w:rsid w:val="00736EFC"/>
    <w:rsid w:val="00772B60"/>
    <w:rsid w:val="00937243"/>
    <w:rsid w:val="00C30ACD"/>
    <w:rsid w:val="00CB7A30"/>
    <w:rsid w:val="00DC7704"/>
    <w:rsid w:val="00DD02B0"/>
    <w:rsid w:val="00DE7AF7"/>
    <w:rsid w:val="00EE4A3B"/>
    <w:rsid w:val="00FA3B3A"/>
    <w:rsid w:val="1E38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Words>
  <Characters>1187</Characters>
  <Lines>9</Lines>
  <Paragraphs>2</Paragraphs>
  <TotalTime>9</TotalTime>
  <ScaleCrop>false</ScaleCrop>
  <LinksUpToDate>false</LinksUpToDate>
  <CharactersWithSpaces>1393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2020-08-21T02:44:00Z</dcterms:created>
  <dc:creator> </dc:creator>
  <cp:lastModifiedBy>leichi</cp:lastModifiedBy>
  <dcterms:modified xsi:type="dcterms:W3CDTF">2023-10-08T02:15:05Z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7E50B9EFF99541818E88C135C31E5EA7_12</vt:lpwstr>
  </property>
</Properties>
</file>