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大标宋简体" w:hAnsi="方正大标宋简体" w:eastAsia="方正大标宋简体" w:cs="方正大标宋简体"/>
          <w:b/>
          <w:bCs/>
          <w:sz w:val="36"/>
          <w:szCs w:val="36"/>
          <w:lang w:eastAsia="zh-CN"/>
        </w:rPr>
      </w:pPr>
      <w:r>
        <w:rPr>
          <w:rFonts w:hint="eastAsia" w:ascii="方正大标宋简体" w:hAnsi="方正大标宋简体" w:eastAsia="方正大标宋简体" w:cs="方正大标宋简体"/>
          <w:b/>
          <w:bCs/>
          <w:sz w:val="36"/>
          <w:szCs w:val="36"/>
          <w:lang w:eastAsia="zh-CN"/>
        </w:rPr>
        <w:t>“十项举措”实地督查要点</w:t>
      </w:r>
    </w:p>
    <w:tbl>
      <w:tblPr>
        <w:tblStyle w:val="3"/>
        <w:tblW w:w="14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3488"/>
        <w:gridCol w:w="9584"/>
      </w:tblGrid>
      <w:tr>
        <w:tblPrEx>
          <w:tblCellMar>
            <w:top w:w="0" w:type="dxa"/>
            <w:left w:w="108" w:type="dxa"/>
            <w:bottom w:w="0" w:type="dxa"/>
            <w:right w:w="108" w:type="dxa"/>
          </w:tblCellMar>
        </w:tblPrEx>
        <w:trPr>
          <w:trHeight w:val="502" w:hRule="exact"/>
          <w:tblHeader/>
          <w:jc w:val="center"/>
        </w:trPr>
        <w:tc>
          <w:tcPr>
            <w:tcW w:w="1235" w:type="dxa"/>
            <w:vAlign w:val="center"/>
          </w:tcPr>
          <w:p>
            <w:pPr>
              <w:keepNext w:val="0"/>
              <w:keepLines w:val="0"/>
              <w:widowControl/>
              <w:suppressLineNumbers w:val="0"/>
              <w:jc w:val="center"/>
              <w:textAlignment w:val="center"/>
              <w:rPr>
                <w:rFonts w:hint="eastAsia" w:ascii="黑体" w:hAnsi="黑体" w:eastAsia="黑体" w:cs="黑体"/>
                <w:color w:val="auto"/>
                <w:sz w:val="24"/>
                <w:szCs w:val="24"/>
                <w:vertAlign w:val="baseline"/>
                <w:lang w:eastAsia="zh-CN"/>
              </w:rPr>
            </w:pPr>
            <w:r>
              <w:rPr>
                <w:rFonts w:hint="eastAsia" w:ascii="黑体" w:hAnsi="黑体" w:eastAsia="黑体" w:cs="黑体"/>
                <w:i w:val="0"/>
                <w:color w:val="auto"/>
                <w:kern w:val="0"/>
                <w:sz w:val="24"/>
                <w:szCs w:val="24"/>
                <w:u w:val="none"/>
                <w:lang w:val="en-US" w:eastAsia="zh-CN" w:bidi="ar"/>
              </w:rPr>
              <w:t>十项举措</w:t>
            </w:r>
          </w:p>
        </w:tc>
        <w:tc>
          <w:tcPr>
            <w:tcW w:w="3488" w:type="dxa"/>
            <w:vAlign w:val="center"/>
          </w:tcPr>
          <w:p>
            <w:pPr>
              <w:keepNext w:val="0"/>
              <w:keepLines w:val="0"/>
              <w:widowControl/>
              <w:suppressLineNumbers w:val="0"/>
              <w:jc w:val="center"/>
              <w:textAlignment w:val="center"/>
              <w:rPr>
                <w:rFonts w:hint="eastAsia" w:ascii="黑体" w:hAnsi="黑体" w:eastAsia="黑体" w:cs="黑体"/>
                <w:color w:val="auto"/>
                <w:sz w:val="24"/>
                <w:szCs w:val="24"/>
                <w:vertAlign w:val="baseline"/>
                <w:lang w:eastAsia="zh-CN"/>
              </w:rPr>
            </w:pPr>
            <w:r>
              <w:rPr>
                <w:rFonts w:hint="eastAsia" w:ascii="黑体" w:hAnsi="黑体" w:eastAsia="黑体" w:cs="黑体"/>
                <w:i w:val="0"/>
                <w:color w:val="auto"/>
                <w:kern w:val="0"/>
                <w:sz w:val="24"/>
                <w:szCs w:val="24"/>
                <w:u w:val="none"/>
                <w:lang w:val="en-US" w:eastAsia="zh-CN" w:bidi="ar"/>
              </w:rPr>
              <w:t>具体内容</w:t>
            </w:r>
          </w:p>
        </w:tc>
        <w:tc>
          <w:tcPr>
            <w:tcW w:w="9584" w:type="dxa"/>
            <w:vAlign w:val="center"/>
          </w:tcPr>
          <w:p>
            <w:pPr>
              <w:keepNext w:val="0"/>
              <w:keepLines w:val="0"/>
              <w:widowControl/>
              <w:suppressLineNumbers w:val="0"/>
              <w:jc w:val="center"/>
              <w:textAlignment w:val="center"/>
              <w:rPr>
                <w:rFonts w:hint="eastAsia" w:ascii="黑体" w:hAnsi="黑体" w:eastAsia="黑体" w:cs="黑体"/>
                <w:color w:val="auto"/>
                <w:sz w:val="24"/>
                <w:szCs w:val="24"/>
                <w:vertAlign w:val="baseline"/>
                <w:lang w:eastAsia="zh-CN"/>
              </w:rPr>
            </w:pPr>
            <w:r>
              <w:rPr>
                <w:rFonts w:hint="eastAsia" w:ascii="黑体" w:hAnsi="黑体" w:eastAsia="黑体" w:cs="黑体"/>
                <w:i w:val="0"/>
                <w:color w:val="auto"/>
                <w:kern w:val="0"/>
                <w:sz w:val="24"/>
                <w:szCs w:val="24"/>
                <w:u w:val="none"/>
                <w:lang w:val="en-US" w:eastAsia="zh-CN" w:bidi="ar"/>
              </w:rPr>
              <w:t>实地督查要点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A1</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减轻</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作业</w:t>
            </w:r>
          </w:p>
          <w:p>
            <w:pPr>
              <w:keepNext w:val="0"/>
              <w:keepLines w:val="0"/>
              <w:widowControl/>
              <w:suppressLineNumbers w:val="0"/>
              <w:jc w:val="center"/>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负担</w:t>
            </w: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B1.严控书面家庭作业量情况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C1.学校是否严控书面家庭作业总量，加强作业布置质量研究，注重作业总量的学科平衡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C2.小学1年级是否零起点教学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C3.小学1-2年级是否不布置书面家庭作业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C4.小学3-6年级每天书面家庭作业时间是否不超过60分钟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C5.初中每天书面家庭作业时间是否不超过90分钟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C6.是否确保周末、寒暑假、法定节假日书面家庭作业时间总量得到控制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C7.是否确保书面家庭作业难度符合学生实际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C8.是否确保</w:t>
            </w:r>
            <w:bookmarkStart w:id="0" w:name="_GoBack"/>
            <w:bookmarkEnd w:id="0"/>
            <w:r>
              <w:rPr>
                <w:rFonts w:hint="eastAsia" w:ascii="楷体" w:hAnsi="楷体" w:eastAsia="楷体" w:cs="楷体"/>
                <w:i w:val="0"/>
                <w:color w:val="auto"/>
                <w:kern w:val="0"/>
                <w:sz w:val="24"/>
                <w:szCs w:val="24"/>
                <w:u w:val="none"/>
                <w:lang w:val="en-US" w:eastAsia="zh-CN" w:bidi="ar"/>
              </w:rPr>
              <w:t>创新作业类型方式，不布置重复性、惩罚性作业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B2.教师指导学生作业情况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C9.是否指导小学生基本在校内完成书面作业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default" w:ascii="楷体" w:hAnsi="楷体" w:eastAsia="楷体" w:cs="楷体"/>
                <w:color w:val="auto"/>
                <w:sz w:val="24"/>
                <w:szCs w:val="24"/>
                <w:vertAlign w:val="baseline"/>
                <w:lang w:val="en-US"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C10.是否指导初中生在校内完成大部分书面作业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C11.是否对不能按时完成作业的学生进行针对性帮助和辅导并调整作业量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B3.学生作业批改情况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C12.教师对布置的学生作业是否做到全批全改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C13.是否做到不得要求学生自批自改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C14.是否做到不给家长布置或变相布置作业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C15.是否做到不要求家长批改作业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A2</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保障</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睡眠</w:t>
            </w:r>
          </w:p>
          <w:p>
            <w:pPr>
              <w:keepNext w:val="0"/>
              <w:keepLines w:val="0"/>
              <w:widowControl/>
              <w:suppressLineNumbers w:val="0"/>
              <w:jc w:val="center"/>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时间</w:t>
            </w: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B4.落实中小学上午上课时间规定情况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C16.是否规定并严格执行小学上午上课不早于8:20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C17.是否规定并严格执行中学上午上课不早于8:00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C18.是否要求学生提前到校参加统一的教育教学活动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B5.建立学生按时就寝管理制度情况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C19.是否告知并督促家长保证小学生晚上就寝时间不晚于21:20，小学生每天睡眠时间是否不少于10小时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C20.是否告知并督促家长保证初中生晚上就寝时间不晚于22:00，初中生每天睡眠时间是否不少于9小时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C21.是否告知并督促家长保证高中生晚上就寝时间不晚于23:00，高中生每天睡眠时间是否不少于8小时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default" w:ascii="楷体" w:hAnsi="楷体" w:eastAsia="楷体" w:cs="楷体"/>
                <w:color w:val="auto"/>
                <w:sz w:val="24"/>
                <w:szCs w:val="24"/>
                <w:vertAlign w:val="baseline"/>
                <w:lang w:val="en-US"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C22.是否确保寄宿制学校能够参照以上标准，加强各学段学生作息时间管理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C23.是否将学生睡眠状况纳入学生体质健康监测和教育质量评价监测体系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jc w:val="both"/>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B6.加强学生睡眠监测情况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C24.市级是否建立学生睡眠状况监测机制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C25.县级是否建立学生睡眠状况监测机制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A3</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加强</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手机</w:t>
            </w:r>
          </w:p>
          <w:p>
            <w:pPr>
              <w:keepNext w:val="0"/>
              <w:keepLines w:val="0"/>
              <w:widowControl/>
              <w:suppressLineNumbers w:val="0"/>
              <w:jc w:val="center"/>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管理</w:t>
            </w: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B7.加强学生手机带入校园管理情况</w:t>
            </w: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C26.是否有学生手机带入校园申请制度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C27.是否规定并严格执行学生手机不得带入课堂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B8.建立学生手机校园内统一保管制度情况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C28.是否有手机保管装置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C29.是否有手机保管责任人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C30.是否有校内公用电话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B9.对用手机布置或完成作业管控情况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C31.是否规定并严格执行不得用手机布置作业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C32.是否规定并严格执行不得要求学生利用手机完成作业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B10.开展学生手机管理教育引导工作情况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C33.是否对学生科学理性使用手机进行教育引导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default" w:ascii="楷体" w:hAnsi="楷体" w:eastAsia="楷体" w:cs="楷体"/>
                <w:color w:val="auto"/>
                <w:sz w:val="24"/>
                <w:szCs w:val="24"/>
                <w:vertAlign w:val="baseline"/>
                <w:lang w:val="en-US"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C34.是否探索使用具备通话功能的电子学生证等多种方式为家校沟通提供必要的通讯条件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C35.是否将学生手机管理要求告知学生家长</w:t>
            </w:r>
          </w:p>
        </w:tc>
      </w:tr>
      <w:tr>
        <w:tblPrEx>
          <w:tblCellMar>
            <w:top w:w="0" w:type="dxa"/>
            <w:left w:w="108" w:type="dxa"/>
            <w:bottom w:w="0" w:type="dxa"/>
            <w:right w:w="108" w:type="dxa"/>
          </w:tblCellMar>
        </w:tblPrEx>
        <w:trPr>
          <w:trHeight w:val="397" w:hRule="exact"/>
          <w:jc w:val="center"/>
        </w:trPr>
        <w:tc>
          <w:tcPr>
            <w:tcW w:w="1235" w:type="dxa"/>
            <w:vMerge w:val="restart"/>
            <w:vAlign w:val="center"/>
          </w:tcPr>
          <w:p>
            <w:pPr>
              <w:jc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A4</w:t>
            </w:r>
          </w:p>
          <w:p>
            <w:pPr>
              <w:jc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规范</w:t>
            </w:r>
          </w:p>
          <w:p>
            <w:pPr>
              <w:jc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读物</w:t>
            </w:r>
          </w:p>
          <w:p>
            <w:pPr>
              <w:jc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管理</w:t>
            </w:r>
          </w:p>
        </w:tc>
        <w:tc>
          <w:tcPr>
            <w:tcW w:w="3488" w:type="dxa"/>
            <w:vMerge w:val="restart"/>
            <w:vAlign w:val="center"/>
          </w:tcPr>
          <w:p>
            <w:pPr>
              <w:keepNext w:val="0"/>
              <w:keepLines w:val="0"/>
              <w:widowControl/>
              <w:suppressLineNumbers w:val="0"/>
              <w:jc w:val="both"/>
              <w:textAlignment w:val="center"/>
              <w:rPr>
                <w:rFonts w:hint="default" w:ascii="楷体" w:hAnsi="楷体" w:eastAsia="楷体" w:cs="楷体"/>
                <w:color w:val="auto"/>
                <w:kern w:val="2"/>
                <w:sz w:val="24"/>
                <w:szCs w:val="24"/>
                <w:vertAlign w:val="baseline"/>
                <w:lang w:val="en-US" w:eastAsia="zh-CN" w:bidi="ar-SA"/>
              </w:rPr>
            </w:pPr>
            <w:r>
              <w:rPr>
                <w:rFonts w:hint="eastAsia" w:ascii="楷体" w:hAnsi="楷体" w:eastAsia="楷体" w:cs="楷体"/>
                <w:i w:val="0"/>
                <w:color w:val="auto"/>
                <w:kern w:val="0"/>
                <w:sz w:val="24"/>
                <w:szCs w:val="24"/>
                <w:u w:val="none"/>
                <w:lang w:val="en-US" w:eastAsia="zh-CN" w:bidi="ar"/>
              </w:rPr>
              <w:t>B11.对课外读物进校园工作指导管理监督情况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C36.市、县级教育行政部门是否进行监督检查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C37.是否确保学校每学年推荐1次课外读物，推荐目录是否向学生、家长公开，是否向上级主管部门备案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C38.是否严格课外读物进校园的遴选、审核和推荐程序，是否明确推荐标准与要求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B12.对校园推荐图书质量管理情况</w:t>
            </w:r>
          </w:p>
        </w:tc>
        <w:tc>
          <w:tcPr>
            <w:tcW w:w="9584" w:type="dxa"/>
            <w:vAlign w:val="center"/>
          </w:tcPr>
          <w:p>
            <w:pPr>
              <w:keepNext w:val="0"/>
              <w:keepLines w:val="0"/>
              <w:widowControl/>
              <w:suppressLineNumbers w:val="0"/>
              <w:jc w:val="left"/>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C39.是否按照办法中列出的12条负面清单对校园推荐图书进行清理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B13.对在校园内销售课外读物行为管控情况</w:t>
            </w:r>
          </w:p>
        </w:tc>
        <w:tc>
          <w:tcPr>
            <w:tcW w:w="9584" w:type="dxa"/>
            <w:vAlign w:val="center"/>
          </w:tcPr>
          <w:p>
            <w:pPr>
              <w:keepNext w:val="0"/>
              <w:keepLines w:val="0"/>
              <w:widowControl/>
              <w:suppressLineNumbers w:val="0"/>
              <w:jc w:val="left"/>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C40.是否对通过举办讲座、培训等活动在校园内销售课外读物现象进行有效管控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B14.对强制或变相强制学生购买课外读物行为管控情况</w:t>
            </w:r>
          </w:p>
        </w:tc>
        <w:tc>
          <w:tcPr>
            <w:tcW w:w="9584" w:type="dxa"/>
            <w:vAlign w:val="center"/>
          </w:tcPr>
          <w:p>
            <w:pPr>
              <w:keepNext w:val="0"/>
              <w:keepLines w:val="0"/>
              <w:widowControl/>
              <w:suppressLineNumbers w:val="0"/>
              <w:jc w:val="left"/>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C41.是否对强制或变相强制学生购买课外读物行为进行有效管控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A5</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改善</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体质</w:t>
            </w:r>
          </w:p>
          <w:p>
            <w:pPr>
              <w:keepNext w:val="0"/>
              <w:keepLines w:val="0"/>
              <w:widowControl/>
              <w:suppressLineNumbers w:val="0"/>
              <w:jc w:val="center"/>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状况</w:t>
            </w: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B15.国家规定的体育与健康课程落实情况</w:t>
            </w:r>
          </w:p>
        </w:tc>
        <w:tc>
          <w:tcPr>
            <w:tcW w:w="9584" w:type="dxa"/>
            <w:vAlign w:val="center"/>
          </w:tcPr>
          <w:p>
            <w:pPr>
              <w:keepNext w:val="0"/>
              <w:keepLines w:val="0"/>
              <w:widowControl/>
              <w:suppressLineNumbers w:val="0"/>
              <w:jc w:val="left"/>
              <w:textAlignment w:val="center"/>
              <w:rPr>
                <w:rFonts w:hint="default"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C42.是否将体制健康管理工作纳入地方教育行政部门和学校的评价考核体系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C43.小学1-2年级是否安排每周4课时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C44.小学3-6年级和初中是否安排每周3课时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C45.高中是否安排每周2课时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C46.每个学生是否能掌握1-2项运动技能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B16.大课间体育活动及每天锻炼1小时制度落实情况</w:t>
            </w:r>
          </w:p>
        </w:tc>
        <w:tc>
          <w:tcPr>
            <w:tcW w:w="9584" w:type="dxa"/>
            <w:vAlign w:val="center"/>
          </w:tcPr>
          <w:p>
            <w:pPr>
              <w:keepNext w:val="0"/>
              <w:keepLines w:val="0"/>
              <w:widowControl/>
              <w:suppressLineNumbers w:val="0"/>
              <w:jc w:val="left"/>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C47.是否着力保障学生每天校内、校外各1小时体育活动时间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C48.是否全面落实大课间体育活动制度，中小学校每天统一安排30分钟的大课间体育活动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C49.每节课间是否允许学生出教室适量活动或放松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B17.学生近视眼防控情况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C50.是否严格落实《综合防止儿童青少年近视实施方案》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C51.是否建立中小学生视力状况监测机制，落实每学期2次全覆盖视力筛查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C52.是否组织全体学生每天上下午各做1次眼保健操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C53.是否告知并督促家长严格控制中小学生使用电子显示屏时长和使用方式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B18.体质健康测试制度落实情况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C54.是否建立并落实面向全体学生体质健康测试制度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C55.是否建立并落实学生体质健康抽测复核制度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C56.是否建立学生体质健康档案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A6</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重视</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心理</w:t>
            </w:r>
          </w:p>
          <w:p>
            <w:pPr>
              <w:keepNext w:val="0"/>
              <w:keepLines w:val="0"/>
              <w:widowControl/>
              <w:suppressLineNumbers w:val="0"/>
              <w:jc w:val="center"/>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健康</w:t>
            </w:r>
          </w:p>
        </w:tc>
        <w:tc>
          <w:tcPr>
            <w:tcW w:w="34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B19.心理健康教育专职教师配备情况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C57.是否确保每1000名学生至少配备1名专职心理健康教育教师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C58.是否确保不足1000人的学校能配备1名专职或一定数量的兼职心理健康教育教师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B20.心理健康教育活动课开设情况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C59.是否确保心理健康活动课每两周至少开设1-2课时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B21.规范的心理辅导室设定情况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C60.是否确保1000人以上的学校设立规范的心理辅导室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C61.是否确保不足1000人的学校有相对固定的心理健康教育活动场所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B22.心理普查落实情况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C62.是否确保每学年至少开展1次学生心理普查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C63.是否建立特殊学生心理预警、突发性事件心理干预机制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A7</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提升</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安全</w:t>
            </w:r>
          </w:p>
          <w:p>
            <w:pPr>
              <w:keepNext w:val="0"/>
              <w:keepLines w:val="0"/>
              <w:widowControl/>
              <w:suppressLineNumbers w:val="0"/>
              <w:jc w:val="center"/>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能力</w:t>
            </w: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B23.学校安全网格化管理情况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C64.是否落实学校岗位安全工作职责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C65.是否强化学校安全制度建设、“三防”建设、隐患排查治理、校园及周边综合治理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B24.加强与公安、政法等部门的协调配合情况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C66.是否健全“高峰勤务”和“护学岗”机制，以确保重点时段、重点部位安全可控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B25.游泳课开设情况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C67.是否支持中小学校开设游泳课程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B26.安全教育和应急演练情况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C68.是否深入开展中小学安全教育和应急演练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C69.是否确保中小学安全教育课每学年不少于12个课时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A8</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治理</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校外</w:t>
            </w:r>
          </w:p>
          <w:p>
            <w:pPr>
              <w:keepNext w:val="0"/>
              <w:keepLines w:val="0"/>
              <w:widowControl/>
              <w:suppressLineNumbers w:val="0"/>
              <w:jc w:val="center"/>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培训</w:t>
            </w:r>
          </w:p>
        </w:tc>
        <w:tc>
          <w:tcPr>
            <w:tcW w:w="34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B27.对校外培训机构时间与作业管控情况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C70.是否规定并严格执行校外培训机构结束时间不得晚于20:30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C71.是否规定并严格执行校外培训机构不得布置任何形式家庭作业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B28.对辖区注册登记或备案的线上培训网课平台、网络游戏规范管控情况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C72.是否确保线上培训时间不得晚于21:00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C73.是否确保每日22:00至次日8:00不得为未成年人提供游戏服务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B29.校外培训机构的监督管理体制的建立情况</w:t>
            </w:r>
          </w:p>
        </w:tc>
        <w:tc>
          <w:tcPr>
            <w:tcW w:w="958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C74.是否能够对校外培训机构的设立审批、教学管理、收费管理、违规处理等环节进行有效监督管理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C75.是否规定并严格执行停止审批面向中小学生的学科类校外培训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C76.是否规定并严格执行不得一次性收取时间跨度超过3个月或60个学时以上的费用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C77.</w:t>
            </w:r>
            <w:r>
              <w:rPr>
                <w:rFonts w:hint="eastAsia" w:ascii="楷体" w:hAnsi="楷体" w:eastAsia="楷体" w:cs="楷体"/>
                <w:i w:val="0"/>
                <w:color w:val="auto"/>
                <w:kern w:val="0"/>
                <w:sz w:val="22"/>
                <w:szCs w:val="22"/>
                <w:u w:val="none"/>
                <w:lang w:val="en-US" w:eastAsia="zh-CN" w:bidi="ar"/>
              </w:rPr>
              <w:t>是否规定并严格执行不得对学前儿童违规进行培训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C78.</w:t>
            </w:r>
            <w:r>
              <w:rPr>
                <w:rFonts w:hint="eastAsia" w:ascii="楷体" w:hAnsi="楷体" w:eastAsia="楷体" w:cs="楷体"/>
                <w:i w:val="0"/>
                <w:color w:val="auto"/>
                <w:kern w:val="0"/>
                <w:sz w:val="22"/>
                <w:szCs w:val="22"/>
                <w:u w:val="none"/>
                <w:lang w:val="en-US" w:eastAsia="zh-CN" w:bidi="ar"/>
              </w:rPr>
              <w:t>是否规定并严格落实校外培训机构黑白名单制度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A9</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完善</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课后</w:t>
            </w:r>
          </w:p>
          <w:p>
            <w:pPr>
              <w:keepNext w:val="0"/>
              <w:keepLines w:val="0"/>
              <w:widowControl/>
              <w:suppressLineNumbers w:val="0"/>
              <w:jc w:val="center"/>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服务</w:t>
            </w: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B30.课后服务制度落实情况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C79.是否严格落实省教育厅等五部门《关于做好中小学生课后服务工作的指导意见》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C80.是否确保推进义务教育学校课后服务全覆盖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C81.是否确保坚持公益导向，学生自愿参加的原则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C82.是否以财政补贴、家长合理分担运行成本的方式予以保障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B31.课后服务结束时间落实情况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C83.是否确保课后服务时间不晚于20:30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C84.是否确保周六日可安排1天提供周末课后服务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C85.是否探索引进校外专业力量在课后服务时间进入学校并提供有关服务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C86.是否鼓励支持教职工积极参加课后服务工作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5" w:type="dxa"/>
            <w:vMerge w:val="restart"/>
            <w:vAlign w:val="center"/>
          </w:tcPr>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A10</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提供</w:t>
            </w:r>
          </w:p>
          <w:p>
            <w:pPr>
              <w:keepNext w:val="0"/>
              <w:keepLines w:val="0"/>
              <w:widowControl/>
              <w:suppressLineNumbers w:val="0"/>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校内</w:t>
            </w:r>
          </w:p>
          <w:p>
            <w:pPr>
              <w:keepNext w:val="0"/>
              <w:keepLines w:val="0"/>
              <w:widowControl/>
              <w:suppressLineNumbers w:val="0"/>
              <w:jc w:val="center"/>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午餐</w:t>
            </w: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B32.“放心午餐”工程落实情况</w:t>
            </w:r>
          </w:p>
        </w:tc>
        <w:tc>
          <w:tcPr>
            <w:tcW w:w="9584" w:type="dxa"/>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C87.是否坚持健康第一、政府主导、家长自愿原则，在城区（含城市主城区和县城）公办非寄宿制小学实施“放心午餐”工程。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C88.是否确保学校采取食堂供餐、企业集中配餐等方式，为有需求的小学生提供“放心午餐”服务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restart"/>
            <w:vAlign w:val="center"/>
          </w:tcPr>
          <w:p>
            <w:pPr>
              <w:keepNext w:val="0"/>
              <w:keepLines w:val="0"/>
              <w:widowControl/>
              <w:suppressLineNumbers w:val="0"/>
              <w:jc w:val="both"/>
              <w:textAlignment w:val="center"/>
              <w:rPr>
                <w:rFonts w:hint="eastAsia" w:ascii="楷体" w:hAnsi="楷体" w:eastAsia="楷体" w:cs="楷体"/>
                <w:color w:val="auto"/>
                <w:sz w:val="24"/>
                <w:szCs w:val="24"/>
                <w:vertAlign w:val="baseline"/>
                <w:lang w:eastAsia="zh-CN"/>
              </w:rPr>
            </w:pPr>
            <w:r>
              <w:rPr>
                <w:rFonts w:hint="eastAsia" w:ascii="楷体" w:hAnsi="楷体" w:eastAsia="楷体" w:cs="楷体"/>
                <w:i w:val="0"/>
                <w:color w:val="auto"/>
                <w:kern w:val="0"/>
                <w:sz w:val="24"/>
                <w:szCs w:val="24"/>
                <w:u w:val="none"/>
                <w:lang w:val="en-US" w:eastAsia="zh-CN" w:bidi="ar"/>
              </w:rPr>
              <w:t>B33.午休落实情况</w:t>
            </w: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C89.是否鼓励学校创造条件提供午休服务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C90.是否能够配备具有午休功能的可调节课桌椅、折叠床（椅）在教室或经过改造具备消防安全条件的场所进行午休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5" w:type="dxa"/>
            <w:vMerge w:val="continue"/>
            <w:vAlign w:val="center"/>
          </w:tcPr>
          <w:p>
            <w:pPr>
              <w:jc w:val="center"/>
              <w:rPr>
                <w:rFonts w:hint="eastAsia" w:ascii="楷体" w:hAnsi="楷体" w:eastAsia="楷体" w:cs="楷体"/>
                <w:color w:val="auto"/>
                <w:sz w:val="24"/>
                <w:szCs w:val="24"/>
                <w:vertAlign w:val="baseline"/>
                <w:lang w:eastAsia="zh-CN"/>
              </w:rPr>
            </w:pPr>
          </w:p>
        </w:tc>
        <w:tc>
          <w:tcPr>
            <w:tcW w:w="3488" w:type="dxa"/>
            <w:vMerge w:val="continue"/>
            <w:vAlign w:val="center"/>
          </w:tcPr>
          <w:p>
            <w:pPr>
              <w:jc w:val="both"/>
              <w:rPr>
                <w:rFonts w:hint="eastAsia" w:ascii="楷体" w:hAnsi="楷体" w:eastAsia="楷体" w:cs="楷体"/>
                <w:color w:val="auto"/>
                <w:sz w:val="24"/>
                <w:szCs w:val="24"/>
                <w:vertAlign w:val="baseline"/>
                <w:lang w:eastAsia="zh-CN"/>
              </w:rPr>
            </w:pPr>
          </w:p>
        </w:tc>
        <w:tc>
          <w:tcPr>
            <w:tcW w:w="9584" w:type="dxa"/>
            <w:vAlign w:val="center"/>
          </w:tcPr>
          <w:p>
            <w:pPr>
              <w:keepNext w:val="0"/>
              <w:keepLines w:val="0"/>
              <w:widowControl/>
              <w:suppressLineNumbers w:val="0"/>
              <w:jc w:val="left"/>
              <w:textAlignment w:val="center"/>
              <w:rPr>
                <w:rFonts w:hint="eastAsia" w:ascii="楷体" w:hAnsi="楷体" w:eastAsia="楷体" w:cs="楷体"/>
                <w:color w:val="auto"/>
                <w:sz w:val="24"/>
                <w:szCs w:val="24"/>
                <w:vertAlign w:val="baseline"/>
                <w:lang w:val="en-US" w:eastAsia="zh-CN"/>
              </w:rPr>
            </w:pPr>
            <w:r>
              <w:rPr>
                <w:rFonts w:hint="eastAsia" w:ascii="楷体" w:hAnsi="楷体" w:eastAsia="楷体" w:cs="楷体"/>
                <w:i w:val="0"/>
                <w:color w:val="auto"/>
                <w:kern w:val="0"/>
                <w:sz w:val="24"/>
                <w:szCs w:val="24"/>
                <w:u w:val="none"/>
                <w:lang w:val="en-US" w:eastAsia="zh-CN" w:bidi="ar"/>
              </w:rPr>
              <w:t>C91.是否确保学校图书馆、阅览室、多功能室、体育馆等场所面向学生开放，能够合理安排午间活动。</w:t>
            </w:r>
          </w:p>
        </w:tc>
      </w:tr>
    </w:tbl>
    <w:p>
      <w:pPr>
        <w:rPr>
          <w:rFonts w:hint="eastAsia"/>
          <w:sz w:val="32"/>
          <w:szCs w:val="32"/>
          <w:lang w:eastAsia="zh-CN"/>
        </w:rPr>
      </w:pPr>
    </w:p>
    <w:sectPr>
      <w:pgSz w:w="16838" w:h="11906" w:orient="landscape"/>
      <w:pgMar w:top="1179" w:right="1157" w:bottom="1179"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168A3"/>
    <w:rsid w:val="00775253"/>
    <w:rsid w:val="012877B6"/>
    <w:rsid w:val="01717740"/>
    <w:rsid w:val="07B26037"/>
    <w:rsid w:val="08237064"/>
    <w:rsid w:val="0A0F1663"/>
    <w:rsid w:val="0AC27C6C"/>
    <w:rsid w:val="102561FD"/>
    <w:rsid w:val="11424C53"/>
    <w:rsid w:val="12A66387"/>
    <w:rsid w:val="15A609D3"/>
    <w:rsid w:val="15C03AC8"/>
    <w:rsid w:val="1A345EDF"/>
    <w:rsid w:val="1C4D2A5A"/>
    <w:rsid w:val="1D364AB4"/>
    <w:rsid w:val="21ED5790"/>
    <w:rsid w:val="269168A3"/>
    <w:rsid w:val="26CF7841"/>
    <w:rsid w:val="27411B9D"/>
    <w:rsid w:val="2AFB1724"/>
    <w:rsid w:val="2D067998"/>
    <w:rsid w:val="2DF9759E"/>
    <w:rsid w:val="2E3868FC"/>
    <w:rsid w:val="2E9B406F"/>
    <w:rsid w:val="3087286F"/>
    <w:rsid w:val="31E36131"/>
    <w:rsid w:val="34213845"/>
    <w:rsid w:val="3E3B772F"/>
    <w:rsid w:val="3EA4189B"/>
    <w:rsid w:val="425407F9"/>
    <w:rsid w:val="477537D7"/>
    <w:rsid w:val="47E414DB"/>
    <w:rsid w:val="47F82B21"/>
    <w:rsid w:val="480E2557"/>
    <w:rsid w:val="49AB5B20"/>
    <w:rsid w:val="4C02179F"/>
    <w:rsid w:val="4CFA4EBF"/>
    <w:rsid w:val="4D785648"/>
    <w:rsid w:val="4E986FBB"/>
    <w:rsid w:val="4EA34BD9"/>
    <w:rsid w:val="4EFE7008"/>
    <w:rsid w:val="4FC55BAF"/>
    <w:rsid w:val="50D21C60"/>
    <w:rsid w:val="53FB0C4B"/>
    <w:rsid w:val="53FB231E"/>
    <w:rsid w:val="587549D0"/>
    <w:rsid w:val="59BB1D4A"/>
    <w:rsid w:val="59F43791"/>
    <w:rsid w:val="5D786EA7"/>
    <w:rsid w:val="63A46074"/>
    <w:rsid w:val="6447469B"/>
    <w:rsid w:val="64C1501D"/>
    <w:rsid w:val="6684077A"/>
    <w:rsid w:val="6A921F55"/>
    <w:rsid w:val="6CE51837"/>
    <w:rsid w:val="6EDD0BCD"/>
    <w:rsid w:val="70AD2384"/>
    <w:rsid w:val="70C5450A"/>
    <w:rsid w:val="73F65529"/>
    <w:rsid w:val="73FC2576"/>
    <w:rsid w:val="7EF3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2021-05-17T08:49:00Z</dcterms:created>
  <dc:creator>LXL</dc:creator>
  <cp:lastModifiedBy>黄金狮子‖＊杨战天</cp:lastModifiedBy>
  <cp:lastPrinted>2021-05-19T04:26:00Z</cp:lastPrinted>
  <dcterms:modified xsi:type="dcterms:W3CDTF">2021-06-09T02:21:18Z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864A3D374CE64C27AC0EE399CC33A20C</vt:lpwstr>
  </property>
</Properties>
</file>