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山西省第九届基础教育“三优工程”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评选活动推荐名额分配表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31"/>
        <w:gridCol w:w="2100"/>
        <w:gridCol w:w="2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项目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优质课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优秀案例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优秀教研成果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太原市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朔州市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忻州市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吕梁市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晋中市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阳泉市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长治市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晋城市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临汾市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运城市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每科2节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厅直单位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2节/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2篇/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2项/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6E2B4662"/>
    <w:rsid w:val="2C863E1B"/>
    <w:rsid w:val="6E2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ontent"/>
    <w:basedOn w:val="1"/>
    <w:autoRedefine/>
    <w:qFormat/>
    <w:uiPriority w:val="0"/>
    <w:pPr>
      <w:widowControl/>
      <w:spacing w:line="432" w:lineRule="auto"/>
      <w:ind w:firstLine="480"/>
      <w:jc w:val="left"/>
    </w:pPr>
    <w:rPr>
      <w:rFonts w:ascii="Arial Unicode MS" w:hAnsi="Arial Unicode MS" w:eastAsia="Arial Unicode MS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2024-06-11T03:36:00Z</dcterms:created>
  <dc:creator>雷艳霞</dc:creator>
  <cp:lastModifiedBy>雷艳霞</cp:lastModifiedBy>
  <dcterms:modified xsi:type="dcterms:W3CDTF">2024-06-11T03:37:08Z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CD7E291198A3406F9C8ED13B4F9B5D80_11</vt:lpwstr>
  </property>
</Properties>
</file>